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F6" w:rsidRDefault="00F220F6" w:rsidP="00E947B8">
      <w:pPr>
        <w:spacing w:line="276" w:lineRule="auto"/>
      </w:pPr>
    </w:p>
    <w:p w:rsidR="00F220F6" w:rsidRPr="003C5E05" w:rsidRDefault="00A61932" w:rsidP="00E947B8">
      <w:pPr>
        <w:spacing w:line="276" w:lineRule="auto"/>
        <w:rPr>
          <w:i/>
        </w:rPr>
      </w:pPr>
      <w:r w:rsidRPr="003C5E05">
        <w:rPr>
          <w:i/>
        </w:rPr>
        <w:t xml:space="preserve">Szanowni </w:t>
      </w:r>
      <w:r w:rsidR="00E947B8" w:rsidRPr="003C5E05">
        <w:rPr>
          <w:i/>
        </w:rPr>
        <w:t>Państwo</w:t>
      </w:r>
      <w:r w:rsidR="003C5E05">
        <w:rPr>
          <w:i/>
        </w:rPr>
        <w:t xml:space="preserve"> </w:t>
      </w:r>
      <w:r w:rsidR="00B66E3D">
        <w:rPr>
          <w:i/>
        </w:rPr>
        <w:t>D</w:t>
      </w:r>
      <w:bookmarkStart w:id="0" w:name="_GoBack"/>
      <w:bookmarkEnd w:id="0"/>
      <w:r w:rsidR="003C5E05">
        <w:rPr>
          <w:i/>
        </w:rPr>
        <w:t>yrektorzy przedszkoli, szkół i placówek oświatowych</w:t>
      </w:r>
      <w:r w:rsidRPr="003C5E05">
        <w:rPr>
          <w:i/>
        </w:rPr>
        <w:t>,</w:t>
      </w:r>
    </w:p>
    <w:p w:rsidR="00A61932" w:rsidRDefault="00A61932" w:rsidP="00E947B8">
      <w:pPr>
        <w:spacing w:line="276" w:lineRule="auto"/>
        <w:jc w:val="both"/>
        <w:rPr>
          <w:b/>
          <w:sz w:val="28"/>
          <w:szCs w:val="28"/>
        </w:rPr>
      </w:pPr>
    </w:p>
    <w:p w:rsidR="00A61932" w:rsidRPr="00A61932" w:rsidRDefault="00A61932" w:rsidP="00E947B8">
      <w:pPr>
        <w:spacing w:line="276" w:lineRule="auto"/>
        <w:jc w:val="both"/>
      </w:pPr>
      <w:r w:rsidRPr="00A61932">
        <w:t>uprzejmie informuję, że Ministerstwu Edukacji Narodowej został przekazany Raport Rzecznika Finansowego pt. „Ubezpieczenia szkolne”. Raport jest dostępny na stronie internetowej Biura Rzecznika Finansowego</w:t>
      </w:r>
      <w:r w:rsidR="00E947B8">
        <w:t xml:space="preserve"> </w:t>
      </w:r>
      <w:r w:rsidRPr="00A61932">
        <w:rPr>
          <w:vertAlign w:val="superscript"/>
        </w:rPr>
        <w:t>[1]</w:t>
      </w:r>
      <w:r>
        <w:t>. W celu wyeliminowania</w:t>
      </w:r>
      <w:r w:rsidRPr="00A61932">
        <w:t xml:space="preserve"> wskazanych</w:t>
      </w:r>
      <w:r>
        <w:t xml:space="preserve"> w ww. raporcie</w:t>
      </w:r>
      <w:r w:rsidRPr="00A61932">
        <w:t xml:space="preserve"> nieprawidłowych praktyk ubezpieczeń szkolnych</w:t>
      </w:r>
      <w:r>
        <w:t xml:space="preserve">, z uwagi na </w:t>
      </w:r>
      <w:r w:rsidR="00E947B8">
        <w:t>zbliżający się</w:t>
      </w:r>
      <w:r w:rsidRPr="00A61932">
        <w:t xml:space="preserve"> termin rozpoczęcia roku szkolnego 2017/2018 </w:t>
      </w:r>
      <w:r w:rsidR="00C954E8">
        <w:t>zachęcam</w:t>
      </w:r>
      <w:r w:rsidRPr="00A61932">
        <w:t xml:space="preserve"> Państwa </w:t>
      </w:r>
      <w:r>
        <w:t xml:space="preserve">dyrektorów </w:t>
      </w:r>
      <w:r w:rsidR="009B62F8">
        <w:t>do zapoznania</w:t>
      </w:r>
      <w:r w:rsidR="00E947B8">
        <w:t xml:space="preserve"> się z</w:t>
      </w:r>
      <w:r w:rsidR="00C954E8">
        <w:t> </w:t>
      </w:r>
      <w:r w:rsidR="00E947B8">
        <w:t>jego treścią</w:t>
      </w:r>
      <w:r>
        <w:t>.</w:t>
      </w:r>
    </w:p>
    <w:p w:rsidR="00A61932" w:rsidRPr="00A61932" w:rsidRDefault="00E947B8" w:rsidP="00E947B8">
      <w:pPr>
        <w:spacing w:line="276" w:lineRule="auto"/>
        <w:jc w:val="both"/>
      </w:pPr>
      <w:r>
        <w:t>Informuję jednocześnie,</w:t>
      </w:r>
      <w:r w:rsidR="00A61932" w:rsidRPr="00A61932">
        <w:t xml:space="preserve"> że w obecnym stanie prawnym nie ma regulacji ustanawiający</w:t>
      </w:r>
      <w:r>
        <w:t xml:space="preserve">ch obowiązkowe ubezpieczenia w </w:t>
      </w:r>
      <w:r w:rsidR="00A61932" w:rsidRPr="00A61932">
        <w:t>odniesieniu do działalności szkół i placówek oświatowych. Zatem umowa ubezpieczenia od następstw nieszczęś</w:t>
      </w:r>
      <w:r>
        <w:t>liwych wypadków (NNW) dzieci i</w:t>
      </w:r>
      <w:r w:rsidR="00BC4051">
        <w:t> </w:t>
      </w:r>
      <w:r w:rsidR="00A61932" w:rsidRPr="00A61932">
        <w:t>młodzieży szkolnej jest dobrowolną umową ubezpieczenia. Umowa ta może być zawarta wyłącznie z woli rodziców. Dotyczy to zarówno nieszczęśliwych wypadków zaistniałych w</w:t>
      </w:r>
      <w:r w:rsidR="00BC4051">
        <w:t> </w:t>
      </w:r>
      <w:r w:rsidR="00A61932" w:rsidRPr="00A61932">
        <w:t>czasie zajęć edukacyjnych realizowanych na terenie szkoły, jak i w przypadku imprez i</w:t>
      </w:r>
      <w:r w:rsidR="00BC4051">
        <w:t> </w:t>
      </w:r>
      <w:r w:rsidR="00A61932" w:rsidRPr="00A61932">
        <w:t>wycieczek szkolnych w kraju.</w:t>
      </w:r>
    </w:p>
    <w:p w:rsidR="00A61932" w:rsidRPr="00E947B8" w:rsidRDefault="00A61932" w:rsidP="00E947B8">
      <w:pPr>
        <w:spacing w:line="276" w:lineRule="auto"/>
        <w:jc w:val="both"/>
      </w:pPr>
      <w:r w:rsidRPr="00A61932">
        <w:t>Wyjątek stanowią wycieczki lub imprezy zagraniczne, których uczestnikiem musi być osoba ubezpieczona od następstw nieszczęśliwych wypadków na podstawie § 15 rozporządzania Ministra Edukacji Narodowej z dnia 28 sierpnia 2014 r. w  sprawie warunków i sposobu organizowania przez publiczne przedszkola, szkoły i placówki krajoznawstwa i  turystyki</w:t>
      </w:r>
      <w:r w:rsidR="00902C9B" w:rsidRPr="00E947B8">
        <w:rPr>
          <w:vertAlign w:val="superscript"/>
        </w:rPr>
        <w:t>[2]</w:t>
      </w:r>
      <w:r w:rsidR="00902C9B">
        <w:t xml:space="preserve">. </w:t>
      </w:r>
    </w:p>
    <w:p w:rsidR="00F220F6" w:rsidRDefault="00F220F6" w:rsidP="00E947B8">
      <w:pPr>
        <w:spacing w:line="276" w:lineRule="auto"/>
        <w:jc w:val="both"/>
        <w:rPr>
          <w:b/>
          <w:sz w:val="28"/>
          <w:szCs w:val="28"/>
        </w:rPr>
      </w:pPr>
    </w:p>
    <w:p w:rsidR="00F220F6" w:rsidRPr="00E947B8" w:rsidRDefault="00E947B8" w:rsidP="00E947B8">
      <w:pPr>
        <w:spacing w:line="276" w:lineRule="auto"/>
        <w:jc w:val="both"/>
      </w:pPr>
      <w:r>
        <w:t xml:space="preserve">Informuję również, że </w:t>
      </w:r>
      <w:r w:rsidR="00F220F6" w:rsidRPr="00E947B8">
        <w:t>Komisja Nadzoru Finansowego (KNF), sprawująca nadzór nad zakładami ubezpieczeń i pośrednikami ubezpieczeniowymi, wydała komunikat poświęcony problematyce oferowania ubezpieczeń następstw nieszczęśliwych wypadków dzieci i</w:t>
      </w:r>
      <w:r w:rsidR="000B3BBD" w:rsidRPr="00E947B8">
        <w:t> </w:t>
      </w:r>
      <w:r w:rsidR="00F220F6" w:rsidRPr="00E947B8">
        <w:t xml:space="preserve">młodzieży szkolnej (dalej jako: ubezpieczenie NNW). Zasygnalizowano, że przed zawarciem umowy ubezpieczenia zakłady ubezpieczeń powinny informować zainteresowanych (ubezpieczających, czyli szkół, a w dalszej kolejności przedstawicieli ustawowych ubezpieczonych, czyli rodziców) przede wszystkim o: </w:t>
      </w:r>
    </w:p>
    <w:p w:rsidR="00F220F6" w:rsidRPr="00E947B8" w:rsidRDefault="00F220F6" w:rsidP="00E947B8">
      <w:pPr>
        <w:pStyle w:val="Akapitzlist"/>
        <w:numPr>
          <w:ilvl w:val="0"/>
          <w:numId w:val="3"/>
        </w:numPr>
        <w:spacing w:line="276" w:lineRule="auto"/>
        <w:jc w:val="both"/>
      </w:pPr>
      <w:r w:rsidRPr="00E947B8">
        <w:t xml:space="preserve">zakresie ochrony ubezpieczeniowej (tj. sytuacjach, których zaistnienie spowoduje możliwość wypłaty świadczenia), </w:t>
      </w:r>
    </w:p>
    <w:p w:rsidR="00F220F6" w:rsidRPr="00E947B8" w:rsidRDefault="00F220F6" w:rsidP="00E947B8">
      <w:pPr>
        <w:pStyle w:val="Akapitzlist"/>
        <w:numPr>
          <w:ilvl w:val="0"/>
          <w:numId w:val="3"/>
        </w:numPr>
        <w:spacing w:line="276" w:lineRule="auto"/>
        <w:jc w:val="both"/>
      </w:pPr>
      <w:r w:rsidRPr="00E947B8">
        <w:t>procedurach likwidacyjnych (sposobie realizacji roszczeń w postaci wypłat świadczeń),</w:t>
      </w:r>
    </w:p>
    <w:p w:rsidR="00F220F6" w:rsidRPr="00E947B8" w:rsidRDefault="00F220F6" w:rsidP="00E947B8">
      <w:pPr>
        <w:pStyle w:val="Akapitzlist"/>
        <w:numPr>
          <w:ilvl w:val="0"/>
          <w:numId w:val="3"/>
        </w:numPr>
        <w:spacing w:line="276" w:lineRule="auto"/>
        <w:jc w:val="both"/>
      </w:pPr>
      <w:r w:rsidRPr="00E947B8">
        <w:t>zależności pomiędzy wysokością sumy ubezpieczeni, czyli maksymalną wysokością do  jakiej odpowiada zakład ubezpieczeń (ewentualnie podmiotów odpowiedzialności za  określone uszczerbki na zdrowiu), a wysokością świadczeń oraz powiazaniu tej kwestii z  wysokością składki.</w:t>
      </w:r>
    </w:p>
    <w:p w:rsidR="00F220F6" w:rsidRPr="00E947B8" w:rsidRDefault="00F220F6" w:rsidP="00E947B8">
      <w:pPr>
        <w:spacing w:line="276" w:lineRule="auto"/>
        <w:jc w:val="both"/>
      </w:pPr>
      <w:r w:rsidRPr="00E947B8">
        <w:t>Zakłady ubezpieczeń powinny przedstawić oferty ubezpieczeń w różnych wariantach zakresów ubezpieczenia i cen (wysokość składki), w taki sposób, aby wybór ostatecznej oferty nie był wynikiem sugestii co do wyboru wariantu najtańszego, ale by był poprzedzony analizą realnych potrzeb ubezpieczonych. Według KNF takie działania zmierzające do  pogłębienia wiedzy w</w:t>
      </w:r>
      <w:r w:rsidR="00BC4051">
        <w:t> </w:t>
      </w:r>
      <w:r w:rsidRPr="00E947B8">
        <w:t xml:space="preserve">zakresie zawieranych umów ubezpieczenia zapobiegną podjęciu niewłaściwej decyzji dotyczącej wyboru wariantu ubezpieczenia, a tym samym rozczarowaniu wysokością kwot wytracanych z tytułu uszczerbków na zdrowiu albo wręcz </w:t>
      </w:r>
      <w:r w:rsidRPr="00E947B8">
        <w:lastRenderedPageBreak/>
        <w:t>brakiem wypłat. Brak dopasowania oferty ubezpieczenia NNW do potrzeb ubezpieczanych dzieci i młodzieży szkolnej może skutkować sytuacją, w której wysokość świadczeń będzie na minimalnym poziomie i nie będzie stanowić w  istocie realnie odczuwanej rekompensaty za doznany ból, ograniczoną mobilność i inne negatywne przeżycia oraz nie pokryje kosztów związanych z  odzyskiwaniem zdrowia.</w:t>
      </w:r>
    </w:p>
    <w:p w:rsidR="00F220F6" w:rsidRPr="00E947B8" w:rsidRDefault="00F220F6" w:rsidP="00E947B8">
      <w:pPr>
        <w:spacing w:line="276" w:lineRule="auto"/>
        <w:jc w:val="both"/>
      </w:pPr>
      <w:r w:rsidRPr="00E947B8">
        <w:t xml:space="preserve">W świetle przepisów prawa dotyczących ubezpieczenia na cudzy rachunek, ubezpieczający nie może otrzymywać wynagrodzenia lub innych korzyści w związku z  oferowaniem możliwości skorzystania z ochrony ubezpieczeniowej lub czynnościami związanymi z wykonywaniem umowy ubezpieczenia. Zakaz ten obejmuje również osoby działające na rzecz lub  w  imieniu ubezpieczającego (w szczególności dyrektorów szkół). Nie może zatem dochodzić do sytuacji, w których w zamian za wybór przez szkołę lub radę rodziców oferty ubezpieczenia NNW, zakłady ubezpieczeń przekazują gratyfikacje finansowe lub materialne ubezpieczającym, podmiotom działającym na rzecz lub  w  imieniu ubezpieczających, a także szkołom. </w:t>
      </w:r>
    </w:p>
    <w:p w:rsidR="00F220F6" w:rsidRPr="00E947B8" w:rsidRDefault="00F220F6" w:rsidP="00E947B8">
      <w:pPr>
        <w:spacing w:line="276" w:lineRule="auto"/>
        <w:jc w:val="both"/>
      </w:pPr>
      <w:r w:rsidRPr="00E947B8">
        <w:t>Szkoły nie powinny uwzględniać środków z funduszu prewencyjnego jako elementu oferty zakładu ubezpieczeń, od której zależeć może wybór konkretnego ubezpieczyciela. Zakłady ubezpieczeń nie są przy tym uprawnione do wykorzystywania środków z funduszu prewencyjnego jako elementu zwiększającego określone korzyści w ramach ubezpieczenia, w</w:t>
      </w:r>
      <w:r w:rsidR="000B3BBD" w:rsidRPr="00E947B8">
        <w:t> </w:t>
      </w:r>
      <w:r w:rsidRPr="00E947B8">
        <w:t>zamian za  wybór oferty. Fundusz prewencyjny może zostać wykorzystany tylko i  wyłącznie na finansowanie działalności prewencyjnej, tj. mającej na celu zmniejszenie ryzyka zajścia zdarzeń ubezpieczeniowych (przykładowo na  infrastrukturę szkolną związaną z  bezpieczeństwem uczniów).</w:t>
      </w:r>
    </w:p>
    <w:p w:rsidR="00F220F6" w:rsidRDefault="00F220F6" w:rsidP="00E947B8">
      <w:pPr>
        <w:spacing w:line="276" w:lineRule="auto"/>
        <w:jc w:val="both"/>
        <w:rPr>
          <w:b/>
          <w:sz w:val="28"/>
          <w:szCs w:val="28"/>
        </w:rPr>
      </w:pPr>
    </w:p>
    <w:p w:rsidR="00BC4051" w:rsidRDefault="00BC4051" w:rsidP="00E947B8">
      <w:pPr>
        <w:spacing w:line="276" w:lineRule="auto"/>
        <w:jc w:val="both"/>
        <w:rPr>
          <w:b/>
          <w:sz w:val="28"/>
          <w:szCs w:val="28"/>
        </w:rPr>
      </w:pPr>
    </w:p>
    <w:p w:rsidR="00BC4051" w:rsidRDefault="00BC4051" w:rsidP="00BC4051">
      <w:pPr>
        <w:pStyle w:val="menfont"/>
        <w:jc w:val="both"/>
        <w:rPr>
          <w:sz w:val="20"/>
          <w:szCs w:val="20"/>
        </w:rPr>
      </w:pPr>
      <w:r>
        <w:rPr>
          <w:rStyle w:val="Odwoanieprzypisudolnego"/>
        </w:rPr>
        <w:footnoteRef/>
      </w:r>
      <w:r w:rsidRPr="00C03023">
        <w:rPr>
          <w:sz w:val="20"/>
          <w:szCs w:val="20"/>
        </w:rPr>
        <w:t xml:space="preserve"> </w:t>
      </w:r>
    </w:p>
    <w:p w:rsidR="00BC4051" w:rsidRDefault="00BC4051" w:rsidP="00BC4051">
      <w:pPr>
        <w:pStyle w:val="menfont"/>
        <w:jc w:val="both"/>
        <w:rPr>
          <w:sz w:val="20"/>
          <w:szCs w:val="20"/>
        </w:rPr>
      </w:pPr>
    </w:p>
    <w:p w:rsidR="00BC4051" w:rsidRDefault="00BC4051" w:rsidP="00BC4051">
      <w:pPr>
        <w:pStyle w:val="menfont"/>
        <w:jc w:val="both"/>
        <w:rPr>
          <w:sz w:val="20"/>
          <w:szCs w:val="20"/>
        </w:rPr>
      </w:pPr>
      <w:r w:rsidRPr="00BC4051">
        <w:rPr>
          <w:rFonts w:ascii="Times New Roman" w:hAnsi="Times New Roman" w:cs="Times New Roman"/>
          <w:sz w:val="22"/>
          <w:szCs w:val="22"/>
        </w:rPr>
        <w:t>[1]</w:t>
      </w:r>
      <w:r>
        <w:t xml:space="preserve"> </w:t>
      </w:r>
      <w:hyperlink r:id="rId7" w:history="1">
        <w:r w:rsidRPr="0046196B">
          <w:rPr>
            <w:rStyle w:val="Hipercze"/>
            <w:sz w:val="20"/>
            <w:szCs w:val="20"/>
          </w:rPr>
          <w:t>http://rf.gov.pl/pdf/Raport-ubezp%20szkolne-wersja%20ost-czerwiec%202017.pdf</w:t>
        </w:r>
      </w:hyperlink>
    </w:p>
    <w:p w:rsidR="00BC4051" w:rsidRDefault="00BC4051" w:rsidP="00BC4051">
      <w:pPr>
        <w:pStyle w:val="Tekstprzypisudolnego"/>
      </w:pPr>
    </w:p>
    <w:p w:rsidR="00BC4051" w:rsidRPr="00F220F6" w:rsidRDefault="00BC4051" w:rsidP="00BC4051">
      <w:pPr>
        <w:spacing w:line="276" w:lineRule="auto"/>
        <w:jc w:val="both"/>
        <w:rPr>
          <w:b/>
          <w:sz w:val="28"/>
          <w:szCs w:val="28"/>
        </w:rPr>
      </w:pPr>
      <w:r>
        <w:rPr>
          <w:color w:val="222222"/>
          <w:sz w:val="18"/>
          <w:szCs w:val="18"/>
        </w:rPr>
        <w:t xml:space="preserve">[2] </w:t>
      </w:r>
      <w:r w:rsidRPr="004F748C">
        <w:rPr>
          <w:color w:val="222222"/>
          <w:sz w:val="18"/>
          <w:szCs w:val="18"/>
        </w:rPr>
        <w:t>rozporządzenie Ministra Edukacji Narodowej z dnia 28 sierpnia 2014 r. zmieniające rozporządzenie w sprawie warunków i sposobu organizowania przez publiczne przedszkola, szkoły i placówki krajoznawstwa i turystyki  (Dz. U. z 2014 r. poz. 1150). W zw. z</w:t>
      </w:r>
      <w:r w:rsidRPr="004F748C">
        <w:rPr>
          <w:sz w:val="18"/>
          <w:szCs w:val="18"/>
        </w:rPr>
        <w:t xml:space="preserve"> </w:t>
      </w:r>
      <w:r w:rsidRPr="004F748C">
        <w:rPr>
          <w:color w:val="222222"/>
          <w:sz w:val="18"/>
          <w:szCs w:val="18"/>
        </w:rPr>
        <w:t>rozporządzeniem Ministra Edukacji Narodowej i Sportu z dnia 8 listopada 2001 r. w sprawie warunków sposobu organizowania przez publiczne przedszkola, szkoły i placówki krajoznawstwa i turystyki (Dz. U</w:t>
      </w:r>
      <w:r>
        <w:rPr>
          <w:color w:val="222222"/>
          <w:sz w:val="18"/>
          <w:szCs w:val="18"/>
        </w:rPr>
        <w:t>. z 2001 r. Nr  135, poz. 1516).</w:t>
      </w:r>
    </w:p>
    <w:sectPr w:rsidR="00BC4051" w:rsidRPr="00F220F6" w:rsidSect="000B3BBD">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6E" w:rsidRDefault="00B51E6E" w:rsidP="000B3BBD">
      <w:r>
        <w:separator/>
      </w:r>
    </w:p>
  </w:endnote>
  <w:endnote w:type="continuationSeparator" w:id="0">
    <w:p w:rsidR="00B51E6E" w:rsidRDefault="00B51E6E" w:rsidP="000B3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6E" w:rsidRDefault="00B51E6E" w:rsidP="000B3BBD">
      <w:r>
        <w:separator/>
      </w:r>
    </w:p>
  </w:footnote>
  <w:footnote w:type="continuationSeparator" w:id="0">
    <w:p w:rsidR="00B51E6E" w:rsidRDefault="00B51E6E" w:rsidP="000B3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414889"/>
      <w:docPartObj>
        <w:docPartGallery w:val="Page Numbers (Top of Page)"/>
        <w:docPartUnique/>
      </w:docPartObj>
    </w:sdtPr>
    <w:sdtContent>
      <w:p w:rsidR="000B3BBD" w:rsidRDefault="00D36882">
        <w:pPr>
          <w:pStyle w:val="Nagwek"/>
          <w:jc w:val="center"/>
        </w:pPr>
        <w:r>
          <w:fldChar w:fldCharType="begin"/>
        </w:r>
        <w:r w:rsidR="000B3BBD">
          <w:instrText>PAGE   \* MERGEFORMAT</w:instrText>
        </w:r>
        <w:r>
          <w:fldChar w:fldCharType="separate"/>
        </w:r>
        <w:r w:rsidR="00614EEB">
          <w:rPr>
            <w:noProof/>
          </w:rPr>
          <w:t>2</w:t>
        </w:r>
        <w:r>
          <w:fldChar w:fldCharType="end"/>
        </w:r>
      </w:p>
    </w:sdtContent>
  </w:sdt>
  <w:p w:rsidR="000B3BBD" w:rsidRDefault="000B3B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92F"/>
    <w:multiLevelType w:val="hybridMultilevel"/>
    <w:tmpl w:val="868AC3B2"/>
    <w:lvl w:ilvl="0" w:tplc="97DC4F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E869EF"/>
    <w:multiLevelType w:val="hybridMultilevel"/>
    <w:tmpl w:val="94A4BCAC"/>
    <w:lvl w:ilvl="0" w:tplc="97DC4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F27B7A"/>
    <w:multiLevelType w:val="hybridMultilevel"/>
    <w:tmpl w:val="7ED2D39C"/>
    <w:lvl w:ilvl="0" w:tplc="97DC4F2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D11E92"/>
    <w:rsid w:val="000151F3"/>
    <w:rsid w:val="000358C5"/>
    <w:rsid w:val="00037AD1"/>
    <w:rsid w:val="00061903"/>
    <w:rsid w:val="00061A20"/>
    <w:rsid w:val="000B3BBD"/>
    <w:rsid w:val="000D1D25"/>
    <w:rsid w:val="000E0D74"/>
    <w:rsid w:val="0015096B"/>
    <w:rsid w:val="00193246"/>
    <w:rsid w:val="001A7300"/>
    <w:rsid w:val="001C11AC"/>
    <w:rsid w:val="00213EB6"/>
    <w:rsid w:val="00230302"/>
    <w:rsid w:val="00237930"/>
    <w:rsid w:val="002737BA"/>
    <w:rsid w:val="003062D5"/>
    <w:rsid w:val="0030719F"/>
    <w:rsid w:val="00374771"/>
    <w:rsid w:val="003A09A2"/>
    <w:rsid w:val="003C5E05"/>
    <w:rsid w:val="00411B83"/>
    <w:rsid w:val="004605ED"/>
    <w:rsid w:val="00495D42"/>
    <w:rsid w:val="004D05CB"/>
    <w:rsid w:val="00584B82"/>
    <w:rsid w:val="005D08B6"/>
    <w:rsid w:val="00614EEB"/>
    <w:rsid w:val="006242FA"/>
    <w:rsid w:val="00641DFB"/>
    <w:rsid w:val="006921E8"/>
    <w:rsid w:val="006A4980"/>
    <w:rsid w:val="006A5AA5"/>
    <w:rsid w:val="00704C9C"/>
    <w:rsid w:val="007A2825"/>
    <w:rsid w:val="007A739E"/>
    <w:rsid w:val="007C27D4"/>
    <w:rsid w:val="007D011B"/>
    <w:rsid w:val="007E1894"/>
    <w:rsid w:val="007F5729"/>
    <w:rsid w:val="00801F65"/>
    <w:rsid w:val="00804092"/>
    <w:rsid w:val="008060A8"/>
    <w:rsid w:val="00807019"/>
    <w:rsid w:val="008916AF"/>
    <w:rsid w:val="008A2D15"/>
    <w:rsid w:val="008A687F"/>
    <w:rsid w:val="008C4A77"/>
    <w:rsid w:val="00902C9B"/>
    <w:rsid w:val="00922417"/>
    <w:rsid w:val="009B62F8"/>
    <w:rsid w:val="009E23F6"/>
    <w:rsid w:val="00A522C2"/>
    <w:rsid w:val="00A61932"/>
    <w:rsid w:val="00A7160D"/>
    <w:rsid w:val="00A8373E"/>
    <w:rsid w:val="00A95B12"/>
    <w:rsid w:val="00AA1AA7"/>
    <w:rsid w:val="00AB0878"/>
    <w:rsid w:val="00AD4236"/>
    <w:rsid w:val="00AE7F63"/>
    <w:rsid w:val="00B03499"/>
    <w:rsid w:val="00B25671"/>
    <w:rsid w:val="00B51E6E"/>
    <w:rsid w:val="00B66E3D"/>
    <w:rsid w:val="00BA6368"/>
    <w:rsid w:val="00BC4051"/>
    <w:rsid w:val="00BD33EC"/>
    <w:rsid w:val="00BD6487"/>
    <w:rsid w:val="00C253B8"/>
    <w:rsid w:val="00C76344"/>
    <w:rsid w:val="00C76672"/>
    <w:rsid w:val="00C82B27"/>
    <w:rsid w:val="00C954E8"/>
    <w:rsid w:val="00CF2B54"/>
    <w:rsid w:val="00D06826"/>
    <w:rsid w:val="00D11E92"/>
    <w:rsid w:val="00D3587B"/>
    <w:rsid w:val="00D36882"/>
    <w:rsid w:val="00DA2638"/>
    <w:rsid w:val="00DA44EB"/>
    <w:rsid w:val="00DF7DE3"/>
    <w:rsid w:val="00E13BCD"/>
    <w:rsid w:val="00E154E5"/>
    <w:rsid w:val="00E16D7D"/>
    <w:rsid w:val="00E86725"/>
    <w:rsid w:val="00E947B8"/>
    <w:rsid w:val="00EB1CC1"/>
    <w:rsid w:val="00EF26CA"/>
    <w:rsid w:val="00F220F6"/>
    <w:rsid w:val="00F47F46"/>
    <w:rsid w:val="00F500C2"/>
    <w:rsid w:val="00F50546"/>
    <w:rsid w:val="00F50AD5"/>
    <w:rsid w:val="00FF5E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88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BD"/>
    <w:pPr>
      <w:tabs>
        <w:tab w:val="center" w:pos="4536"/>
        <w:tab w:val="right" w:pos="9072"/>
      </w:tabs>
    </w:pPr>
  </w:style>
  <w:style w:type="character" w:customStyle="1" w:styleId="NagwekZnak">
    <w:name w:val="Nagłówek Znak"/>
    <w:basedOn w:val="Domylnaczcionkaakapitu"/>
    <w:link w:val="Nagwek"/>
    <w:uiPriority w:val="99"/>
    <w:rsid w:val="000B3BBD"/>
    <w:rPr>
      <w:sz w:val="24"/>
      <w:szCs w:val="24"/>
    </w:rPr>
  </w:style>
  <w:style w:type="paragraph" w:styleId="Stopka">
    <w:name w:val="footer"/>
    <w:basedOn w:val="Normalny"/>
    <w:link w:val="StopkaZnak"/>
    <w:unhideWhenUsed/>
    <w:rsid w:val="000B3BBD"/>
    <w:pPr>
      <w:tabs>
        <w:tab w:val="center" w:pos="4536"/>
        <w:tab w:val="right" w:pos="9072"/>
      </w:tabs>
    </w:pPr>
  </w:style>
  <w:style w:type="character" w:customStyle="1" w:styleId="StopkaZnak">
    <w:name w:val="Stopka Znak"/>
    <w:basedOn w:val="Domylnaczcionkaakapitu"/>
    <w:link w:val="Stopka"/>
    <w:rsid w:val="000B3BBD"/>
    <w:rPr>
      <w:sz w:val="24"/>
      <w:szCs w:val="24"/>
    </w:rPr>
  </w:style>
  <w:style w:type="paragraph" w:styleId="Akapitzlist">
    <w:name w:val="List Paragraph"/>
    <w:basedOn w:val="Normalny"/>
    <w:uiPriority w:val="34"/>
    <w:qFormat/>
    <w:rsid w:val="000B3BBD"/>
    <w:pPr>
      <w:ind w:left="720"/>
      <w:contextualSpacing/>
    </w:pPr>
  </w:style>
  <w:style w:type="paragraph" w:customStyle="1" w:styleId="menfont">
    <w:name w:val="men font"/>
    <w:basedOn w:val="Normalny"/>
    <w:rsid w:val="00BC4051"/>
    <w:rPr>
      <w:rFonts w:ascii="Arial" w:hAnsi="Arial" w:cs="Arial"/>
    </w:rPr>
  </w:style>
  <w:style w:type="paragraph" w:styleId="Tekstprzypisudolnego">
    <w:name w:val="footnote text"/>
    <w:basedOn w:val="Normalny"/>
    <w:link w:val="TekstprzypisudolnegoZnak"/>
    <w:uiPriority w:val="99"/>
    <w:semiHidden/>
    <w:unhideWhenUsed/>
    <w:rsid w:val="00BC4051"/>
    <w:rPr>
      <w:rFonts w:ascii="Arial" w:hAnsi="Arial" w:cs="Arial"/>
      <w:sz w:val="20"/>
      <w:szCs w:val="20"/>
    </w:rPr>
  </w:style>
  <w:style w:type="character" w:customStyle="1" w:styleId="TekstprzypisudolnegoZnak">
    <w:name w:val="Tekst przypisu dolnego Znak"/>
    <w:basedOn w:val="Domylnaczcionkaakapitu"/>
    <w:link w:val="Tekstprzypisudolnego"/>
    <w:uiPriority w:val="99"/>
    <w:semiHidden/>
    <w:rsid w:val="00BC4051"/>
    <w:rPr>
      <w:rFonts w:ascii="Arial" w:hAnsi="Arial" w:cs="Arial"/>
    </w:rPr>
  </w:style>
  <w:style w:type="character" w:styleId="Odwoanieprzypisudolnego">
    <w:name w:val="footnote reference"/>
    <w:basedOn w:val="Domylnaczcionkaakapitu"/>
    <w:uiPriority w:val="99"/>
    <w:semiHidden/>
    <w:unhideWhenUsed/>
    <w:rsid w:val="00BC4051"/>
    <w:rPr>
      <w:vertAlign w:val="superscript"/>
    </w:rPr>
  </w:style>
  <w:style w:type="character" w:styleId="Hipercze">
    <w:name w:val="Hyperlink"/>
    <w:basedOn w:val="Domylnaczcionkaakapitu"/>
    <w:unhideWhenUsed/>
    <w:rsid w:val="00BC4051"/>
    <w:rPr>
      <w:color w:val="0000FF" w:themeColor="hyperlink"/>
      <w:u w:val="single"/>
    </w:rPr>
  </w:style>
  <w:style w:type="paragraph" w:styleId="Tekstdymka">
    <w:name w:val="Balloon Text"/>
    <w:basedOn w:val="Normalny"/>
    <w:link w:val="TekstdymkaZnak"/>
    <w:semiHidden/>
    <w:unhideWhenUsed/>
    <w:rsid w:val="00C954E8"/>
    <w:rPr>
      <w:rFonts w:ascii="Segoe UI" w:hAnsi="Segoe UI" w:cs="Segoe UI"/>
      <w:sz w:val="18"/>
      <w:szCs w:val="18"/>
    </w:rPr>
  </w:style>
  <w:style w:type="character" w:customStyle="1" w:styleId="TekstdymkaZnak">
    <w:name w:val="Tekst dymka Znak"/>
    <w:basedOn w:val="Domylnaczcionkaakapitu"/>
    <w:link w:val="Tekstdymka"/>
    <w:semiHidden/>
    <w:rsid w:val="00C954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BD"/>
    <w:pPr>
      <w:tabs>
        <w:tab w:val="center" w:pos="4536"/>
        <w:tab w:val="right" w:pos="9072"/>
      </w:tabs>
    </w:pPr>
  </w:style>
  <w:style w:type="character" w:customStyle="1" w:styleId="NagwekZnak">
    <w:name w:val="Nagłówek Znak"/>
    <w:basedOn w:val="Domylnaczcionkaakapitu"/>
    <w:link w:val="Nagwek"/>
    <w:uiPriority w:val="99"/>
    <w:rsid w:val="000B3BBD"/>
    <w:rPr>
      <w:sz w:val="24"/>
      <w:szCs w:val="24"/>
    </w:rPr>
  </w:style>
  <w:style w:type="paragraph" w:styleId="Stopka">
    <w:name w:val="footer"/>
    <w:basedOn w:val="Normalny"/>
    <w:link w:val="StopkaZnak"/>
    <w:unhideWhenUsed/>
    <w:rsid w:val="000B3BBD"/>
    <w:pPr>
      <w:tabs>
        <w:tab w:val="center" w:pos="4536"/>
        <w:tab w:val="right" w:pos="9072"/>
      </w:tabs>
    </w:pPr>
  </w:style>
  <w:style w:type="character" w:customStyle="1" w:styleId="StopkaZnak">
    <w:name w:val="Stopka Znak"/>
    <w:basedOn w:val="Domylnaczcionkaakapitu"/>
    <w:link w:val="Stopka"/>
    <w:rsid w:val="000B3BBD"/>
    <w:rPr>
      <w:sz w:val="24"/>
      <w:szCs w:val="24"/>
    </w:rPr>
  </w:style>
  <w:style w:type="paragraph" w:styleId="Akapitzlist">
    <w:name w:val="List Paragraph"/>
    <w:basedOn w:val="Normalny"/>
    <w:uiPriority w:val="34"/>
    <w:qFormat/>
    <w:rsid w:val="000B3BBD"/>
    <w:pPr>
      <w:ind w:left="720"/>
      <w:contextualSpacing/>
    </w:pPr>
  </w:style>
  <w:style w:type="paragraph" w:customStyle="1" w:styleId="menfont">
    <w:name w:val="men font"/>
    <w:basedOn w:val="Normalny"/>
    <w:rsid w:val="00BC4051"/>
    <w:rPr>
      <w:rFonts w:ascii="Arial" w:hAnsi="Arial" w:cs="Arial"/>
    </w:rPr>
  </w:style>
  <w:style w:type="paragraph" w:styleId="Tekstprzypisudolnego">
    <w:name w:val="footnote text"/>
    <w:basedOn w:val="Normalny"/>
    <w:link w:val="TekstprzypisudolnegoZnak"/>
    <w:uiPriority w:val="99"/>
    <w:semiHidden/>
    <w:unhideWhenUsed/>
    <w:rsid w:val="00BC4051"/>
    <w:rPr>
      <w:rFonts w:ascii="Arial" w:hAnsi="Arial" w:cs="Arial"/>
      <w:sz w:val="20"/>
      <w:szCs w:val="20"/>
    </w:rPr>
  </w:style>
  <w:style w:type="character" w:customStyle="1" w:styleId="TekstprzypisudolnegoZnak">
    <w:name w:val="Tekst przypisu dolnego Znak"/>
    <w:basedOn w:val="Domylnaczcionkaakapitu"/>
    <w:link w:val="Tekstprzypisudolnego"/>
    <w:uiPriority w:val="99"/>
    <w:semiHidden/>
    <w:rsid w:val="00BC4051"/>
    <w:rPr>
      <w:rFonts w:ascii="Arial" w:hAnsi="Arial" w:cs="Arial"/>
    </w:rPr>
  </w:style>
  <w:style w:type="character" w:styleId="Odwoanieprzypisudolnego">
    <w:name w:val="footnote reference"/>
    <w:basedOn w:val="Domylnaczcionkaakapitu"/>
    <w:uiPriority w:val="99"/>
    <w:semiHidden/>
    <w:unhideWhenUsed/>
    <w:rsid w:val="00BC4051"/>
    <w:rPr>
      <w:vertAlign w:val="superscript"/>
    </w:rPr>
  </w:style>
  <w:style w:type="character" w:styleId="Hipercze">
    <w:name w:val="Hyperlink"/>
    <w:basedOn w:val="Domylnaczcionkaakapitu"/>
    <w:unhideWhenUsed/>
    <w:rsid w:val="00BC4051"/>
    <w:rPr>
      <w:color w:val="0000FF" w:themeColor="hyperlink"/>
      <w:u w:val="single"/>
    </w:rPr>
  </w:style>
  <w:style w:type="paragraph" w:styleId="Tekstdymka">
    <w:name w:val="Balloon Text"/>
    <w:basedOn w:val="Normalny"/>
    <w:link w:val="TekstdymkaZnak"/>
    <w:semiHidden/>
    <w:unhideWhenUsed/>
    <w:rsid w:val="00C954E8"/>
    <w:rPr>
      <w:rFonts w:ascii="Segoe UI" w:hAnsi="Segoe UI" w:cs="Segoe UI"/>
      <w:sz w:val="18"/>
      <w:szCs w:val="18"/>
    </w:rPr>
  </w:style>
  <w:style w:type="character" w:customStyle="1" w:styleId="TekstdymkaZnak">
    <w:name w:val="Tekst dymka Znak"/>
    <w:basedOn w:val="Domylnaczcionkaakapitu"/>
    <w:link w:val="Tekstdymka"/>
    <w:semiHidden/>
    <w:rsid w:val="00C954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f.gov.pl/pdf/Raport-ubezp%20szkolne-wersja%20ost-czerwiec%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msawicka</dc:creator>
  <cp:lastModifiedBy>r.jaron</cp:lastModifiedBy>
  <cp:revision>2</cp:revision>
  <cp:lastPrinted>2017-08-17T06:36:00Z</cp:lastPrinted>
  <dcterms:created xsi:type="dcterms:W3CDTF">2017-08-18T06:47:00Z</dcterms:created>
  <dcterms:modified xsi:type="dcterms:W3CDTF">2017-08-18T06:47:00Z</dcterms:modified>
</cp:coreProperties>
</file>