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54DB" w14:textId="77777777" w:rsidR="00D6630F" w:rsidRPr="00D6630F" w:rsidRDefault="00D6630F" w:rsidP="003C5596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4"/>
          <w:szCs w:val="24"/>
          <w:lang w:eastAsia="pl-PL"/>
        </w:rPr>
        <w:t>Edukacja szkolna – Fundusze Europejskie dla Rozwoju Społecznego</w:t>
      </w:r>
    </w:p>
    <w:p w14:paraId="5365CE06" w14:textId="77777777" w:rsidR="003C5596" w:rsidRDefault="003C5596" w:rsidP="003C559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  <w:t>19 czerwca 2024 r. Fundacja Rozwoju Systemu Edukacji opublikowała wyniki naboru do programu Erasmus+ edukacja szkolna KA 1 projekty krótkoterminowe. Do FRSE w terminie 20 lutego br. wpłynęło 1050 wniosków. Finansowanie przyznano  w Polsce 146 projektom. Granty otrzyma 14 projektów szkół w woj. śląskim.  Współczynnik powodzenia wynosi: 9,52.</w:t>
      </w:r>
    </w:p>
    <w:p w14:paraId="039DACF3" w14:textId="31472C29" w:rsidR="003C5596" w:rsidRDefault="003C5596" w:rsidP="003C559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  <w:t>Najwyżej ocenione wnioski z listy rezerwowej otrzymają dofinasowanie z programu FERS.  Poniżej przedstawiamy najważniejsze informacje nt. programu</w:t>
      </w:r>
      <w:r w:rsidR="00A972F6"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  <w:t xml:space="preserve"> </w:t>
      </w:r>
      <w:r w:rsidR="00A972F6" w:rsidRPr="00A972F6">
        <w:rPr>
          <w:rFonts w:ascii="Times New Roman" w:eastAsia="Times New Roman" w:hAnsi="Times New Roman" w:cs="Times New Roman"/>
          <w:b/>
          <w:bCs/>
          <w:color w:val="3C3E55"/>
          <w:sz w:val="24"/>
          <w:szCs w:val="24"/>
          <w:lang w:eastAsia="pl-PL"/>
        </w:rPr>
        <w:t>FERS</w:t>
      </w:r>
      <w:r>
        <w:rPr>
          <w:rFonts w:ascii="Times New Roman" w:eastAsia="Times New Roman" w:hAnsi="Times New Roman" w:cs="Times New Roman"/>
          <w:color w:val="3C3E55"/>
          <w:sz w:val="24"/>
          <w:szCs w:val="24"/>
          <w:lang w:eastAsia="pl-PL"/>
        </w:rPr>
        <w:t xml:space="preserve">. </w:t>
      </w:r>
    </w:p>
    <w:p w14:paraId="424FD960" w14:textId="69172965" w:rsidR="00D6630F" w:rsidRPr="00D6630F" w:rsidRDefault="00D6630F" w:rsidP="003C5596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Projekt „Zagraniczna mobilność edukacyjna uczniów i kadry edukacji szkolnej”</w:t>
      </w:r>
    </w:p>
    <w:p w14:paraId="0C53135E" w14:textId="77777777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Projekt realizowany jest w I osi priorytetowej: Umiejętności, Działanie 1.7 „Mobilność ponadnarodowa”, w ramach programu Fundusze Europejskie dla Rozwoju Społecznego 2021-2027 (FERS) współfinansowanego ze środków Europejskiego Funduszu Społecznego Plus, na zasadach programu Erasmus+.</w:t>
      </w:r>
    </w:p>
    <w:p w14:paraId="6A1AA84E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Projekt dofinansowany jest ze środków budżetu państwa oraz środków UE.</w:t>
      </w:r>
    </w:p>
    <w:p w14:paraId="1BB7AA28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Okres realizacji projektu:</w:t>
      </w:r>
    </w:p>
    <w:p w14:paraId="700770A2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Od 1 czerwca 2023 r. do 31 maja 2027 r.</w:t>
      </w:r>
    </w:p>
    <w:p w14:paraId="6878E837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Budżet projektu:</w:t>
      </w:r>
    </w:p>
    <w:p w14:paraId="01717F72" w14:textId="77777777" w:rsidR="00D6630F" w:rsidRPr="00D6630F" w:rsidRDefault="00EE37FE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hyperlink r:id="rId5" w:history="1">
        <w:r w:rsidR="00D6630F" w:rsidRPr="00D6630F">
          <w:rPr>
            <w:rFonts w:ascii="Times New Roman" w:eastAsia="Times New Roman" w:hAnsi="Times New Roman" w:cs="Times New Roman"/>
            <w:color w:val="000000" w:themeColor="text1"/>
            <w:spacing w:val="6"/>
            <w:sz w:val="24"/>
            <w:szCs w:val="24"/>
            <w:u w:val="single"/>
            <w:lang w:eastAsia="pl-PL"/>
          </w:rPr>
          <w:t>Dofinansowany ze środków budżetu państwa oraz środków UE.</w:t>
        </w:r>
      </w:hyperlink>
    </w:p>
    <w:p w14:paraId="7A32D662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Całkowity budżet projektu: 113 200 645,54 PLN</w:t>
      </w:r>
    </w:p>
    <w:p w14:paraId="0B57609F" w14:textId="77777777" w:rsidR="00D6630F" w:rsidRPr="00D6630F" w:rsidRDefault="00D6630F" w:rsidP="003C5596">
      <w:pPr>
        <w:shd w:val="clear" w:color="auto" w:fill="FFFFFF"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Wkład UE: 93 413 172,70 PLN</w:t>
      </w:r>
    </w:p>
    <w:p w14:paraId="32226BE2" w14:textId="77777777" w:rsidR="00D6630F" w:rsidRPr="00D6630F" w:rsidRDefault="00D6630F" w:rsidP="003C5596">
      <w:pPr>
        <w:shd w:val="clear" w:color="auto" w:fill="FFFFFF"/>
        <w:spacing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Wkład Państwa: 19 787 472,84 PLN</w:t>
      </w:r>
    </w:p>
    <w:p w14:paraId="6D9198D0" w14:textId="77777777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Cel główny projektu: 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nabycie kompetencji kluczowych lub zawodowych u uczniów/uczennic szkół publicznych i niepublicznych, funkcjonujących w systemie edukacji zgodnie z ustawą Prawo oświatowe art. 2., oraz przedstawicieli/przedstawicielek kadry pedagogicznej (nauczycieli i pracowników pedagogicznych), poprzez udział w programach mobilności ponadnarodowej, realizowanych na zasadach Erasmus+.</w:t>
      </w:r>
    </w:p>
    <w:p w14:paraId="18325962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Rezultaty projektu: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rozwój i podniesienie kompetencji kluczowych lub zawodowych kadry pedagogicznej placówek oświaty oraz uczniów/uczennic, objętych wsparciem w ramach programów mobilności ponadnarodowej. Kompetencje kluczowe, które dzięki realizacji projektu mogą zostać nabyte lub wzmocnione, to kompetencje: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br/>
        <w:t>- w zakresie rozumienia i tworzenia informacji;</w:t>
      </w:r>
    </w:p>
    <w:p w14:paraId="7EE67A48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 w zakresie wielojęzyczności;</w:t>
      </w:r>
    </w:p>
    <w:p w14:paraId="23D3E087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  matematyczne oraz w zakresie nauk przyrodniczych, technologii i inżynierii;</w:t>
      </w:r>
    </w:p>
    <w:p w14:paraId="743D5073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 cyfrowe;</w:t>
      </w:r>
    </w:p>
    <w:p w14:paraId="48298B8A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 osobiste, społeczne i w zakresie uczenia się;</w:t>
      </w:r>
    </w:p>
    <w:p w14:paraId="3EB09486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lastRenderedPageBreak/>
        <w:t>- obywatelskie;</w:t>
      </w:r>
    </w:p>
    <w:p w14:paraId="08C7DA5D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 w zakresie przedsiębiorczości;</w:t>
      </w:r>
    </w:p>
    <w:p w14:paraId="05A049FE" w14:textId="7610CD8A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- w zakresie świadomości i ekspresji kulturalnej.</w:t>
      </w:r>
    </w:p>
    <w:p w14:paraId="7143546F" w14:textId="77777777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Główne działania w projekcie polegać będą na wyjazdach edukacyjnych.</w:t>
      </w:r>
    </w:p>
    <w:p w14:paraId="0426DAD2" w14:textId="77777777" w:rsidR="003C5596" w:rsidRPr="003C5596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Działania projektowe mogą przyjąć formę:</w:t>
      </w:r>
    </w:p>
    <w:p w14:paraId="3F0B2B3F" w14:textId="61A558F8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w przypadku kadry pedagogicznej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:</w:t>
      </w:r>
    </w:p>
    <w:p w14:paraId="2A86F2B8" w14:textId="77777777" w:rsidR="00D6630F" w:rsidRPr="00D6630F" w:rsidRDefault="00D6630F" w:rsidP="003C5596">
      <w:pPr>
        <w:numPr>
          <w:ilvl w:val="0"/>
          <w:numId w:val="1"/>
        </w:numPr>
        <w:spacing w:before="100" w:beforeAutospacing="1" w:after="225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kursów lub szkoleń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(trwających od 2 do 30 dni),</w:t>
      </w:r>
    </w:p>
    <w:p w14:paraId="161A46BA" w14:textId="77777777" w:rsidR="00D6630F" w:rsidRPr="00D6630F" w:rsidRDefault="00D6630F" w:rsidP="003C5596">
      <w:pPr>
        <w:numPr>
          <w:ilvl w:val="0"/>
          <w:numId w:val="1"/>
        </w:numPr>
        <w:spacing w:before="100" w:beforeAutospacing="1" w:after="225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obserwacji pracy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(</w:t>
      </w:r>
      <w:proofErr w:type="spellStart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job</w:t>
      </w:r>
      <w:proofErr w:type="spellEnd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 </w:t>
      </w:r>
      <w:proofErr w:type="spellStart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shadowing</w:t>
      </w:r>
      <w:proofErr w:type="spellEnd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) zagranicznej szkoły partnerskiej lub innej organizacji związanej z edukacją szkolną (trwających od 2 do 60 dni),</w:t>
      </w:r>
    </w:p>
    <w:p w14:paraId="091804CC" w14:textId="77777777" w:rsidR="00D6630F" w:rsidRPr="00D6630F" w:rsidRDefault="00D6630F" w:rsidP="003C5596">
      <w:pPr>
        <w:numPr>
          <w:ilvl w:val="0"/>
          <w:numId w:val="1"/>
        </w:numPr>
        <w:spacing w:before="100" w:beforeAutospacing="1" w:after="225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działań polegających na prowadzeniu zajęć dydaktycznych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(</w:t>
      </w:r>
      <w:proofErr w:type="spellStart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teaching</w:t>
      </w:r>
      <w:proofErr w:type="spellEnd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 </w:t>
      </w:r>
      <w:proofErr w:type="spellStart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assignment</w:t>
      </w:r>
      <w:proofErr w:type="spellEnd"/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) w zagranicznych szkołach partnerskich (trwających od 2 do 365 dni),</w:t>
      </w:r>
    </w:p>
    <w:p w14:paraId="797CB490" w14:textId="77777777" w:rsidR="00D6630F" w:rsidRPr="00D6630F" w:rsidRDefault="00D6630F" w:rsidP="003C5596">
      <w:pPr>
        <w:numPr>
          <w:ilvl w:val="0"/>
          <w:numId w:val="1"/>
        </w:numPr>
        <w:spacing w:before="100" w:beforeAutospacing="1" w:after="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wizyty przygotowawczej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pracowników organizacji wysyłającej w instytucji przyjmującej w celu lepszego przygotowania działań w zakresie mobilności osób uczących się lub pracowników;</w:t>
      </w:r>
    </w:p>
    <w:p w14:paraId="4027E9D4" w14:textId="77777777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w przypadku uczniów/uczennic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:</w:t>
      </w:r>
    </w:p>
    <w:p w14:paraId="56424B0C" w14:textId="77777777" w:rsidR="00D6630F" w:rsidRPr="00D6630F" w:rsidRDefault="00D6630F" w:rsidP="003C5596">
      <w:pPr>
        <w:numPr>
          <w:ilvl w:val="0"/>
          <w:numId w:val="2"/>
        </w:numPr>
        <w:spacing w:before="100" w:beforeAutospacing="1" w:after="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grupowej  mobilności</w:t>
      </w: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(trwającej od 2 do 30 dni, co najmniej dwóch uczniów w grupie).</w:t>
      </w:r>
    </w:p>
    <w:p w14:paraId="4845EDD1" w14:textId="77777777" w:rsidR="00D6630F" w:rsidRPr="00D6630F" w:rsidRDefault="00D6630F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D6630F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Mobilności będą mogły być realizowane w partnerstwie z instytucjami z krajów UE, Norwegii, Liechtensteinu, Islandii, Republiki Turcji, Republiki Serbii i Republiki Macedonii Północnej.</w:t>
      </w:r>
    </w:p>
    <w:p w14:paraId="2603B367" w14:textId="1174DCA3" w:rsidR="003C5596" w:rsidRPr="003C5596" w:rsidRDefault="003C5596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Grupa docelowa</w:t>
      </w:r>
    </w:p>
    <w:p w14:paraId="77063BB9" w14:textId="77777777" w:rsidR="003C5596" w:rsidRPr="003C5596" w:rsidRDefault="003C5596" w:rsidP="003C5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Grupą docelową projektu mogą być:</w:t>
      </w:r>
    </w:p>
    <w:p w14:paraId="452E2915" w14:textId="77777777" w:rsidR="003C5596" w:rsidRPr="003C5596" w:rsidRDefault="003C5596" w:rsidP="003C55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uczniowie szkół publicznych i niepublicznych funkcjonujących w systemie edukacji</w:t>
      </w: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(zgodnie z art. 2 ustawy z dnia 14 grudnia 2016 r. Prawo oświatowe)</w:t>
      </w:r>
    </w:p>
    <w:p w14:paraId="16EAF4A8" w14:textId="77777777" w:rsidR="003C5596" w:rsidRPr="003C5596" w:rsidRDefault="003C5596" w:rsidP="003C559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oraz</w:t>
      </w:r>
    </w:p>
    <w:p w14:paraId="4EB88555" w14:textId="77777777" w:rsidR="003C5596" w:rsidRPr="003C5596" w:rsidRDefault="003C5596" w:rsidP="003C55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kadra pedagogiczna</w:t>
      </w: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– nauczyciele i pracownicy pedagogiczni/specjaliści (nauczyciele, nauczyciele-dyrektorzy, nauczyciele-psychologowie, pedagodzy, nauczyciele-bibliotekarze, nauczyciele-logopedzi, nauczyciele pracujący w świetlicach), których działalność jest związana z edukacją szkolną i są zatrudnieni w placówkach otrzymujących dofinansowanie,</w:t>
      </w:r>
    </w:p>
    <w:p w14:paraId="17DFDF7B" w14:textId="77777777" w:rsidR="003C5596" w:rsidRPr="003C5596" w:rsidRDefault="003C5596" w:rsidP="003C559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</w:t>
      </w: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lang w:eastAsia="pl-PL"/>
        </w:rPr>
        <w:t>znajdujący się w niekorzystnej sytuacji.</w:t>
      </w:r>
    </w:p>
    <w:p w14:paraId="72BB3867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Opis</w:t>
      </w:r>
    </w:p>
    <w:p w14:paraId="136FC6A6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lastRenderedPageBreak/>
        <w:t>Za uczestników znajdujących się w niekorzystnej sytuacji mogą zostać uznane osoby, w przypadku których dostęp do uczestnictwa w programie jest utrudniony bądź ograniczony z następujących powodów:</w:t>
      </w:r>
    </w:p>
    <w:p w14:paraId="42249244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Niepełnosprawność – obniżona sprawność fizyczna, umysłowa, intelektualna lub sensoryczna, która w interakcji z różnymi barierami może ograniczać pełne i efektywne uczestnictwo w życiu społecznym na równych zasadach z innymi obywatelami.</w:t>
      </w:r>
    </w:p>
    <w:p w14:paraId="100C0AE1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Trudności edukacyjne, w tym mniejsza dostępność oraz struktura oferty edukacyjnej i szkoleń oraz problemy edukacyjne powodujące osiąganie słabych wyników w nauczaniu, a tym samym słabsze przygotowanie do życia zawodowego i społecznego, prowadzące do przedwczesnego kończenia nauki (w przypadku grupy uczniów).</w:t>
      </w:r>
    </w:p>
    <w:p w14:paraId="390A1ADA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Przeszkody natury ekonomicznej: za uczestników z mniejszymi szansami uznajemy osoby doświadczające problemów finansowych, osoby znajdujące się w niepewnej sytuacji ekonomicznej lub ubóstwie.</w:t>
      </w:r>
    </w:p>
    <w:p w14:paraId="53B4F11D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Różnice kulturowe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 Takie różnice mogą stanowić istotne bariery w ogólnym uczeniu się, zwłaszcza dla osób ze środowisk migracyjnych lub uchodźczych, w szczególności nowo przybyłych migrantów, osób należących do mniejszości narodowych lub etnicznych, ale również użytkowników języka migowego. Zetknięcie się z językami obcymi i różnicami kulturowymi podczas uczestnictwa w życiu społecznym może być czynnikiem utrudniającym i w przypadku osób o mniejszych szansach uniemożliwiającym pełne uczestnictwo, stwarzając ryzyko wykluczenia.</w:t>
      </w:r>
    </w:p>
    <w:p w14:paraId="5F92D028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Problemy zdrowotne: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1E487A95" w14:textId="77777777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Przeszkody społeczne związane z dyskryminacją: ze względu na płeć, wiek, pochodzenie etniczne, religie, przekonania, orientację seksualną lub niepełnosprawność, osoby o ograniczonych umiejętnościach społecznych, osoby </w:t>
      </w: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lastRenderedPageBreak/>
        <w:t>znajdujące się w nieustabilizowanej sytuacji życiowej, m.in. młodzi rodzice lub osoby samotnie wychowujące dzieci, sieroty,  osoby znajdujące się w grupie ryzyka osób narażonych na wypalenie zawodowe.</w:t>
      </w:r>
    </w:p>
    <w:p w14:paraId="5D9356C2" w14:textId="537E4B65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Przeszkody natury geograficznej, tj. zamieszkanie na obszarach </w:t>
      </w:r>
      <w:proofErr w:type="spellStart"/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defaworyzowanych</w:t>
      </w:r>
      <w:proofErr w:type="spellEnd"/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 wg stopnia urbanizacji </w:t>
      </w:r>
      <w:proofErr w:type="spellStart"/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Degurba</w:t>
      </w:r>
      <w:proofErr w:type="spellEnd"/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 2 i 3,  tzn. na terenach z mniejszymi możliwościami edukacyjnymi, rozwojowymi, transportowymi, z niską aktywnością obywateli, mniej rozwiniętych gospodarczo lub z mniejszym dostępem do instytucji kultury, osoby z obszarów oddalonych lub wiejskich, osoby z „problematycznych” stref miejskich, osoby z obszarów o słabiej rozwiniętej sieci usług (ograniczony transport publiczny, słaba infrastruktura).</w:t>
      </w:r>
    </w:p>
    <w:p w14:paraId="787425E4" w14:textId="2F1F3C22" w:rsidR="003C5596" w:rsidRPr="003C5596" w:rsidRDefault="003C5596" w:rsidP="003C559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W celu sprawdzenia klasyfikacji obszaru miejscowości uczestnika projektu wg stopnia urbanizacji DEGURBA należy wybrać arkusz PL i odszukać miejscowość w poniższym wykazie:</w:t>
      </w:r>
    </w:p>
    <w:p w14:paraId="1ADE9EBB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             </w:t>
      </w:r>
      <w:hyperlink r:id="rId6" w:history="1">
        <w:r w:rsidRPr="003C5596">
          <w:rPr>
            <w:rFonts w:ascii="Times New Roman" w:eastAsia="Times New Roman" w:hAnsi="Times New Roman" w:cs="Times New Roman"/>
            <w:color w:val="000000" w:themeColor="text1"/>
            <w:spacing w:val="6"/>
            <w:sz w:val="24"/>
            <w:szCs w:val="24"/>
            <w:u w:val="single"/>
            <w:lang w:eastAsia="pl-PL"/>
          </w:rPr>
          <w:t>EU-27-LAU-2022-NUTS-2021.xlsx (sharepoint.com)</w:t>
        </w:r>
      </w:hyperlink>
    </w:p>
    <w:p w14:paraId="5BB0BB17" w14:textId="19711566" w:rsidR="003C5596" w:rsidRPr="003C5596" w:rsidRDefault="003C5596" w:rsidP="003C5596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Kwalifikowalność uczestników</w:t>
      </w:r>
    </w:p>
    <w:p w14:paraId="1593F32B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Beneficjent na etapie rekrutacji jest zobowiązany do weryfikacji, czy udział uczestników jest zgodny z zasadami i wytycznymi projektu FERS „Zagraniczna mobilność edukacyjna uczniów i kadry edukacji szkolnej” realizowanego przez FRSE.</w:t>
      </w:r>
    </w:p>
    <w:p w14:paraId="67E46414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Potwierdzeniem, że dany uczestnik znajduje się w niekorzystnej sytuacji, tj. należy do jednej z kategorii osób o mniejszych szansach, jest Oświadczenie Realizatora podpisane przez reprezentanta prawnego, wskazujące z imienia i nazwiska osobę wraz ze wskazaniem kategorii osób o mniejszych szansach, mającą zastosowanie dla danego uczestnika. W Oświadczeniu Realizatora powinno się wskazać tylko samą kategorię osób z mniejszymi szansami, bez podawania szczegółów. Oświadczenie Realizatora powinno zawierać informację, że Realizator zapoznał się z dokumentacją potwierdzającą, iż dany uczestnik należy do wskazanej kategorii osób o mniejszych szansach.</w:t>
      </w:r>
    </w:p>
    <w:p w14:paraId="3FE03A98" w14:textId="77777777" w:rsidR="003C5596" w:rsidRPr="003C5596" w:rsidRDefault="003C5596" w:rsidP="003C559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W formularzach zgłoszeniowych uczestnicy wskazują, z jaką mniejszą szansą zgłaszają się do udziału w projekcie. Po wyborze uczestnika w procesie rekrutacji reprezentant prawny (np. Dyrektor) ma obowiązek zapoznania się z dokumentacją potwierdzającą mniejsze szanse danego uczestnika, a następnie podpisania oświadczenia, iż zgodnie z przedstawioną dokumentacją uczestnik wpisuje się w grupę docelową projektu, tj. grupę osób z mniejszymi szansami. Na tej podstawie podpisują Państwo umowę z danym uczestnikiem wraz ze wszystkimi wymaganymi załącznikami.</w:t>
      </w:r>
    </w:p>
    <w:p w14:paraId="4ADEE24B" w14:textId="77777777" w:rsidR="00EE37FE" w:rsidRDefault="003C5596" w:rsidP="00EE37F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lastRenderedPageBreak/>
        <w:t>Co istotne, nie ma obowiązku gromadzenia i przechowywania dokumentacji potwierdzających mniejsze szanse. Kontroli ma podlegać jedynie samo Oświadczenie Realizatora. Przyjęte założenie pozwala Państwu ograniczyć się do przejrzenia dokumentów potwierdzających przynależność uczestnika do grupy osób z mniejszymi szansami i oddania ich uczestnikowi, bez robienia kopii czy skanów. Taka ostrożność jest zalecana i przyjęta ze względu na fakt, iż powyższe dowody dotyczące mniejszych szans danego uczestnika mogą zawierać tzw. dane osobowe szczególnej kategorii, które – zgodnie z obowiązującym prawem – powinny być szczególnie chronione.</w:t>
      </w:r>
    </w:p>
    <w:p w14:paraId="7BB4999F" w14:textId="1AA519E3" w:rsidR="003C5596" w:rsidRPr="003C5596" w:rsidRDefault="00EE37FE" w:rsidP="00EE37F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Edukacja szkolna - Fundusze Europejskie dla Rozwoju Społecznego - FRSE</w:t>
        </w:r>
      </w:hyperlink>
    </w:p>
    <w:p w14:paraId="5A766D29" w14:textId="77777777" w:rsidR="003C5596" w:rsidRPr="003C5596" w:rsidRDefault="003C5596" w:rsidP="003C5596">
      <w:pPr>
        <w:spacing w:after="0" w:line="360" w:lineRule="auto"/>
        <w:ind w:left="-18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5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C46963D" w14:textId="77777777" w:rsidR="003C5596" w:rsidRPr="003C5596" w:rsidRDefault="003C5596" w:rsidP="003C5596">
      <w:pPr>
        <w:spacing w:before="100" w:beforeAutospacing="1" w:after="100" w:afterAutospacing="1" w:line="360" w:lineRule="auto"/>
        <w:ind w:left="-180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3C5596" w:rsidRPr="003C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34E"/>
    <w:multiLevelType w:val="multilevel"/>
    <w:tmpl w:val="02E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A43F9"/>
    <w:multiLevelType w:val="multilevel"/>
    <w:tmpl w:val="B7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845"/>
    <w:multiLevelType w:val="multilevel"/>
    <w:tmpl w:val="B42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24154"/>
    <w:multiLevelType w:val="multilevel"/>
    <w:tmpl w:val="DE9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97D2D"/>
    <w:multiLevelType w:val="multilevel"/>
    <w:tmpl w:val="F706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F6930"/>
    <w:multiLevelType w:val="multilevel"/>
    <w:tmpl w:val="685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43BC2"/>
    <w:multiLevelType w:val="multilevel"/>
    <w:tmpl w:val="9BE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408F4"/>
    <w:multiLevelType w:val="multilevel"/>
    <w:tmpl w:val="4A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163A7"/>
    <w:multiLevelType w:val="multilevel"/>
    <w:tmpl w:val="9BE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53EB1"/>
    <w:multiLevelType w:val="multilevel"/>
    <w:tmpl w:val="A9B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1BCE"/>
    <w:multiLevelType w:val="multilevel"/>
    <w:tmpl w:val="A72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55A59"/>
    <w:multiLevelType w:val="multilevel"/>
    <w:tmpl w:val="854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0F"/>
    <w:rsid w:val="001015F9"/>
    <w:rsid w:val="003C5596"/>
    <w:rsid w:val="00A972F6"/>
    <w:rsid w:val="00D6630F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9B7"/>
  <w15:chartTrackingRefBased/>
  <w15:docId w15:val="{F48E9C90-9C2D-42D9-AD9E-06B84C4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6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6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663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3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6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6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6630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663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630F"/>
    <w:rPr>
      <w:color w:val="0000FF"/>
      <w:u w:val="single"/>
    </w:rPr>
  </w:style>
  <w:style w:type="paragraph" w:customStyle="1" w:styleId="carouselelements">
    <w:name w:val="carousel_elements"/>
    <w:basedOn w:val="Normalny"/>
    <w:rsid w:val="00D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D6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9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48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03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861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82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6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D8DADE"/>
                                        <w:right w:val="none" w:sz="0" w:space="0" w:color="auto"/>
                                      </w:divBdr>
                                      <w:divsChild>
                                        <w:div w:id="19126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35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48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133406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0505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77675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7533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53397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24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6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7831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1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1" w:color="EFEFEF"/>
                                                <w:left w:val="single" w:sz="6" w:space="21" w:color="EFEFEF"/>
                                                <w:bottom w:val="single" w:sz="6" w:space="21" w:color="EFEFEF"/>
                                                <w:right w:val="single" w:sz="6" w:space="21" w:color="EFEFEF"/>
                                              </w:divBdr>
                                              <w:divsChild>
                                                <w:div w:id="9971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5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1" w:color="EFEFEF"/>
                                                <w:left w:val="single" w:sz="6" w:space="21" w:color="EFEFEF"/>
                                                <w:bottom w:val="single" w:sz="6" w:space="21" w:color="EFEFEF"/>
                                                <w:right w:val="single" w:sz="6" w:space="21" w:color="EFEFEF"/>
                                              </w:divBdr>
                                              <w:divsChild>
                                                <w:div w:id="18998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7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4653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0446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1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5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4025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1" w:color="EFEFEF"/>
                                                <w:left w:val="single" w:sz="6" w:space="21" w:color="EFEFEF"/>
                                                <w:bottom w:val="single" w:sz="6" w:space="21" w:color="EFEFEF"/>
                                                <w:right w:val="single" w:sz="6" w:space="21" w:color="EFEFEF"/>
                                              </w:divBdr>
                                              <w:divsChild>
                                                <w:div w:id="196169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8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1" w:color="EFEFEF"/>
                                                <w:left w:val="single" w:sz="6" w:space="21" w:color="EFEFEF"/>
                                                <w:bottom w:val="single" w:sz="6" w:space="21" w:color="EFEFEF"/>
                                                <w:right w:val="single" w:sz="6" w:space="21" w:color="EFEFEF"/>
                                              </w:divBdr>
                                              <w:divsChild>
                                                <w:div w:id="14846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FEFEF"/>
                            <w:right w:val="none" w:sz="0" w:space="0" w:color="auto"/>
                          </w:divBdr>
                          <w:divsChild>
                            <w:div w:id="16418844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187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586">
          <w:marLeft w:val="0"/>
          <w:marRight w:val="0"/>
          <w:marTop w:val="0"/>
          <w:marBottom w:val="75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9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226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730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se.org.pl/fers-edukacja-szko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documents/345175/501971/EU-27-LAU-2022-NUTS-2021.xlsx" TargetMode="External"/><Relationship Id="rId5" Type="http://schemas.openxmlformats.org/officeDocument/2006/relationships/hyperlink" Target="https://www.frse.org.pl/uploaded_files/1694556188_1694509530podstrona-fers-se-budzet-krajowy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6</cp:revision>
  <dcterms:created xsi:type="dcterms:W3CDTF">2024-07-05T09:03:00Z</dcterms:created>
  <dcterms:modified xsi:type="dcterms:W3CDTF">2024-07-05T09:24:00Z</dcterms:modified>
</cp:coreProperties>
</file>